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DF" w:rsidRDefault="00923099">
      <w:r w:rsidRPr="00923099">
        <w:t>En lo que va del primer semestre del ejercicio 2022 se reporta que el Comité de Transparencia no realizó ninguna sesión para desclasificar información. Esta fracción se actualiza de conformidad con los lineamientos técnicos generales para la publicación, homologación y estandarización de la información de las obligaciones establecidas en el título quinto y en la fracción iv del artículo 31 de la ley general de transparencia y acceso a la información pública.</w:t>
      </w:r>
      <w:bookmarkStart w:id="0" w:name="_GoBack"/>
      <w:bookmarkEnd w:id="0"/>
    </w:p>
    <w:sectPr w:rsidR="00A927DF" w:rsidSect="00923099">
      <w:type w:val="continuous"/>
      <w:pgSz w:w="12701" w:h="16840" w:code="9"/>
      <w:pgMar w:top="1417" w:right="1701" w:bottom="1417"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99"/>
    <w:rsid w:val="006633C0"/>
    <w:rsid w:val="006B73FC"/>
    <w:rsid w:val="00923099"/>
    <w:rsid w:val="00A06832"/>
    <w:rsid w:val="00A927DF"/>
    <w:rsid w:val="00F17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C674-BC97-4EA5-8A63-79BE520C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392</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2023-09-26T15:33:00Z</dcterms:created>
  <dcterms:modified xsi:type="dcterms:W3CDTF">2023-09-26T15:33:00Z</dcterms:modified>
</cp:coreProperties>
</file>