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Artículo 15.</w:t>
      </w:r>
      <w:r>
        <w:rPr>
          <w:rFonts w:ascii="Helvetica" w:hAnsi="Helvetica"/>
          <w:color w:val="262626"/>
          <w:sz w:val="20"/>
          <w:szCs w:val="20"/>
        </w:rPr>
        <w:t> Los sujetos obligados deberán publicar y mantener actualizada la información pública, de conformidad con los lineamientos que para el caso expida el Sistema Nacional, al inicio de cada año o dentro de los siguientes diez días naturales a que surja alguna modificación, de acuerdo con sus atribuciones y a disposición de cualquier interesado, conforme a lo siguiente:</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I.</w:t>
      </w:r>
      <w:r>
        <w:rPr>
          <w:rFonts w:ascii="Helvetica" w:hAnsi="Helvetica"/>
          <w:color w:val="262626"/>
          <w:sz w:val="20"/>
          <w:szCs w:val="20"/>
        </w:rPr>
        <w:t> El marco normativo aplicable al sujeto obligado, en el que deberá incluirse leyes, códigos, reglamentos, decretos de creación, manuales administrativos, reglas de operación, criterios, políticas, entre otros;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II.</w:t>
      </w:r>
      <w:r>
        <w:rPr>
          <w:rFonts w:ascii="Helvetica" w:hAnsi="Helvetica"/>
          <w:color w:val="262626"/>
          <w:sz w:val="20"/>
          <w:szCs w:val="20"/>
        </w:rPr>
        <w:t>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III.</w:t>
      </w:r>
      <w:r>
        <w:rPr>
          <w:rFonts w:ascii="Helvetica" w:hAnsi="Helvetica"/>
          <w:color w:val="262626"/>
          <w:sz w:val="20"/>
          <w:szCs w:val="20"/>
        </w:rPr>
        <w:t> Las facultades de cada Área;</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IV. Las metas y objetivos de las Áreas de conformidad con sus programas operativos;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V.</w:t>
      </w:r>
      <w:r>
        <w:rPr>
          <w:rFonts w:ascii="Helvetica" w:hAnsi="Helvetica"/>
          <w:color w:val="262626"/>
          <w:sz w:val="20"/>
          <w:szCs w:val="20"/>
        </w:rPr>
        <w:t> Los indicadores relacionados con temas de interés público o trascendencia social que conforme a sus funciones, deban establecer;</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VI.</w:t>
      </w:r>
      <w:r>
        <w:rPr>
          <w:rFonts w:ascii="Helvetica" w:hAnsi="Helvetica"/>
          <w:color w:val="262626"/>
          <w:sz w:val="20"/>
          <w:szCs w:val="20"/>
        </w:rPr>
        <w:t> Los indicadores que permitan rendir cuenta de sus objetivos y resultados;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VII.</w:t>
      </w:r>
      <w:r>
        <w:rPr>
          <w:rFonts w:ascii="Helvetica" w:hAnsi="Helvetica"/>
          <w:color w:val="262626"/>
          <w:sz w:val="20"/>
          <w:szCs w:val="20"/>
        </w:rPr>
        <w:t>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VIII.</w:t>
      </w:r>
      <w:r>
        <w:rPr>
          <w:rFonts w:ascii="Helvetica" w:hAnsi="Helvetica"/>
          <w:color w:val="262626"/>
          <w:sz w:val="20"/>
          <w:szCs w:val="20"/>
        </w:rPr>
        <w:t>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IX.</w:t>
      </w:r>
      <w:r>
        <w:rPr>
          <w:rFonts w:ascii="Helvetica" w:hAnsi="Helvetica"/>
          <w:color w:val="262626"/>
          <w:sz w:val="20"/>
          <w:szCs w:val="20"/>
        </w:rPr>
        <w:t> Los gastos de representación y viáticos, así como el objeto e informe de comisión correspondiente;</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w:t>
      </w:r>
      <w:r>
        <w:rPr>
          <w:rFonts w:ascii="Helvetica" w:hAnsi="Helvetica"/>
          <w:color w:val="262626"/>
          <w:sz w:val="20"/>
          <w:szCs w:val="20"/>
        </w:rPr>
        <w:t> El número total de las plazas y del personal de base y confianza, especificando el total de las vacantes, por nivel de puesto, para cada unidad administrativa;</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XI.</w:t>
      </w:r>
      <w:r>
        <w:rPr>
          <w:rFonts w:ascii="Helvetica" w:hAnsi="Helvetica"/>
          <w:color w:val="262626"/>
          <w:sz w:val="20"/>
          <w:szCs w:val="20"/>
        </w:rPr>
        <w:t> Las contrataciones de servicios profesionales por honorarios, señalando los nombres de los prestadores de servicios, los servicios contratados, el monto de los honorarios y el periodo de contratación;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XII.</w:t>
      </w:r>
      <w:r>
        <w:rPr>
          <w:rFonts w:ascii="Helvetica" w:hAnsi="Helvetica"/>
          <w:color w:val="262626"/>
          <w:sz w:val="20"/>
          <w:szCs w:val="20"/>
        </w:rPr>
        <w:t> La información en Versión Pública de las declaraciones patrimoniales de los Servidores Públicos que así lo determinen, en los sistemas habilitados para ello, de acuerdo a la normatividad aplicable. No Aplica. Al corresponder a una atribución del Congreso del Estado de Veracruz, al generar y administrar el registro de situación patrimonial.</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XIII.</w:t>
      </w:r>
      <w:r>
        <w:rPr>
          <w:rFonts w:ascii="Helvetica" w:hAnsi="Helvetica"/>
          <w:color w:val="262626"/>
          <w:sz w:val="20"/>
          <w:szCs w:val="20"/>
        </w:rPr>
        <w:t> El domicilio de la Unidad de Transparencia, además de la dirección electrónica donde podrán recibirse las solicitudes para obtener la información;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lastRenderedPageBreak/>
        <w:t>XIV.</w:t>
      </w:r>
      <w:r>
        <w:rPr>
          <w:rFonts w:ascii="Helvetica" w:hAnsi="Helvetica"/>
          <w:color w:val="262626"/>
          <w:sz w:val="20"/>
          <w:szCs w:val="20"/>
        </w:rPr>
        <w:t> Las convocatorias a concursos para ocupar cargos públicos y los resultados de los mismos;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XV.</w:t>
      </w:r>
      <w:r>
        <w:rPr>
          <w:rFonts w:ascii="Helvetica" w:hAnsi="Helvetica"/>
          <w:color w:val="262626"/>
          <w:sz w:val="20"/>
          <w:szCs w:val="20"/>
        </w:rPr>
        <w:t> La información de los programas de subsidios, estímulos y apoyos, en el que se deberá informar respecto de los programas de transferencia, de servicios, de infraestructura social y de subsidio, en los que se deberá contener lo siguiente:</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a) Área;</w:t>
      </w:r>
      <w:r>
        <w:rPr>
          <w:rFonts w:ascii="Helvetica" w:hAnsi="Helvetica"/>
          <w:color w:val="262626"/>
          <w:sz w:val="20"/>
          <w:szCs w:val="20"/>
        </w:rPr>
        <w:br/>
        <w:t>b) Denominación del programa;</w:t>
      </w:r>
      <w:r>
        <w:rPr>
          <w:rFonts w:ascii="Helvetica" w:hAnsi="Helvetica"/>
          <w:color w:val="262626"/>
          <w:sz w:val="20"/>
          <w:szCs w:val="20"/>
        </w:rPr>
        <w:br/>
        <w:t>c) Periodo de vigencia;</w:t>
      </w:r>
      <w:r>
        <w:rPr>
          <w:rFonts w:ascii="Helvetica" w:hAnsi="Helvetica"/>
          <w:color w:val="262626"/>
          <w:sz w:val="20"/>
          <w:szCs w:val="20"/>
        </w:rPr>
        <w:br/>
        <w:t>d) Diseño, objetivos y alcances;</w:t>
      </w:r>
      <w:r>
        <w:rPr>
          <w:rFonts w:ascii="Helvetica" w:hAnsi="Helvetica"/>
          <w:color w:val="262626"/>
          <w:sz w:val="20"/>
          <w:szCs w:val="20"/>
        </w:rPr>
        <w:br/>
        <w:t>e) Metas físicas;</w:t>
      </w:r>
      <w:r>
        <w:rPr>
          <w:rFonts w:ascii="Helvetica" w:hAnsi="Helvetica"/>
          <w:color w:val="262626"/>
          <w:sz w:val="20"/>
          <w:szCs w:val="20"/>
        </w:rPr>
        <w:br/>
        <w:t>f) Población beneficiada estimada;</w:t>
      </w:r>
      <w:r>
        <w:rPr>
          <w:rFonts w:ascii="Helvetica" w:hAnsi="Helvetica"/>
          <w:color w:val="262626"/>
          <w:sz w:val="20"/>
          <w:szCs w:val="20"/>
        </w:rPr>
        <w:br/>
        <w:t>g) Monto aprobado, modificado y ejercido, así como los calendarios de su programación presupuestal;</w:t>
      </w:r>
      <w:r>
        <w:rPr>
          <w:rFonts w:ascii="Helvetica" w:hAnsi="Helvetica"/>
          <w:color w:val="262626"/>
          <w:sz w:val="20"/>
          <w:szCs w:val="20"/>
        </w:rPr>
        <w:br/>
        <w:t>h) Requisitos y procedimientos de acceso;</w:t>
      </w:r>
      <w:r>
        <w:rPr>
          <w:rFonts w:ascii="Helvetica" w:hAnsi="Helvetica"/>
          <w:color w:val="262626"/>
          <w:sz w:val="20"/>
          <w:szCs w:val="20"/>
        </w:rPr>
        <w:br/>
        <w:t>i) Procedimiento de queja o inconformidad ciudadana;</w:t>
      </w:r>
      <w:r>
        <w:rPr>
          <w:rFonts w:ascii="Helvetica" w:hAnsi="Helvetica"/>
          <w:color w:val="262626"/>
          <w:sz w:val="20"/>
          <w:szCs w:val="20"/>
        </w:rPr>
        <w:br/>
        <w:t>j) Mecanismos de exigibilidad;</w:t>
      </w:r>
      <w:r>
        <w:rPr>
          <w:rFonts w:ascii="Helvetica" w:hAnsi="Helvetica"/>
          <w:color w:val="262626"/>
          <w:sz w:val="20"/>
          <w:szCs w:val="20"/>
        </w:rPr>
        <w:br/>
        <w:t>k) Mecanismos de evaluación, informes de evaluación y seguimiento de recomendaciones;</w:t>
      </w:r>
      <w:r>
        <w:rPr>
          <w:rFonts w:ascii="Helvetica" w:hAnsi="Helvetica"/>
          <w:color w:val="262626"/>
          <w:sz w:val="20"/>
          <w:szCs w:val="20"/>
        </w:rPr>
        <w:br/>
        <w:t>l) Indicadores con nombre, definición, método de cálculo, unidad de medida, dimensión, frecuencia de medición, nombre de las bases de datos utilizadas para su cálculo;</w:t>
      </w:r>
      <w:r>
        <w:rPr>
          <w:rFonts w:ascii="Helvetica" w:hAnsi="Helvetica"/>
          <w:color w:val="262626"/>
          <w:sz w:val="20"/>
          <w:szCs w:val="20"/>
        </w:rPr>
        <w:br/>
        <w:t>m) Formas de participación social;</w:t>
      </w:r>
      <w:r>
        <w:rPr>
          <w:rFonts w:ascii="Helvetica" w:hAnsi="Helvetica"/>
          <w:color w:val="262626"/>
          <w:sz w:val="20"/>
          <w:szCs w:val="20"/>
        </w:rPr>
        <w:br/>
        <w:t>n) Articulación con otros programas sociales;</w:t>
      </w:r>
      <w:r>
        <w:rPr>
          <w:rFonts w:ascii="Helvetica" w:hAnsi="Helvetica"/>
          <w:color w:val="262626"/>
          <w:sz w:val="20"/>
          <w:szCs w:val="20"/>
        </w:rPr>
        <w:br/>
        <w:t>o) Vínculo a las reglas de operación o Documento equivalente;</w:t>
      </w:r>
      <w:r>
        <w:rPr>
          <w:rFonts w:ascii="Helvetica" w:hAnsi="Helvetica"/>
          <w:color w:val="262626"/>
          <w:sz w:val="20"/>
          <w:szCs w:val="20"/>
        </w:rPr>
        <w:br/>
        <w:t>p) Informes periódicos sobre la ejecución y los resultados de las evaluaciones realizadas, y</w:t>
      </w:r>
      <w:r>
        <w:rPr>
          <w:rFonts w:ascii="Helvetica" w:hAnsi="Helvetica"/>
          <w:color w:val="262626"/>
          <w:sz w:val="20"/>
          <w:szCs w:val="20"/>
        </w:rPr>
        <w:b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XVI.</w:t>
      </w:r>
      <w:r>
        <w:rPr>
          <w:rFonts w:ascii="Helvetica" w:hAnsi="Helvetica"/>
          <w:color w:val="262626"/>
          <w:sz w:val="20"/>
          <w:szCs w:val="20"/>
        </w:rPr>
        <w:t>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XVII.</w:t>
      </w:r>
      <w:r>
        <w:rPr>
          <w:rFonts w:ascii="Helvetica" w:hAnsi="Helvetica"/>
          <w:color w:val="262626"/>
          <w:sz w:val="20"/>
          <w:szCs w:val="20"/>
        </w:rPr>
        <w:t> La información curricular, desde el nivel de jefe de departamento o equivalente, hasta el titular del sujeto obligado, así como, en su caso, las sanciones administrativas de que haya sido objeto;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XVIII.</w:t>
      </w:r>
      <w:r>
        <w:rPr>
          <w:rFonts w:ascii="Helvetica" w:hAnsi="Helvetica"/>
          <w:color w:val="262626"/>
          <w:sz w:val="20"/>
          <w:szCs w:val="20"/>
        </w:rPr>
        <w:t> El listado de Servidores Públicos con sanciones administrativas definitivas, especificando la causa de sanción y la disposición;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XIX.</w:t>
      </w:r>
      <w:r>
        <w:rPr>
          <w:rFonts w:ascii="Helvetica" w:hAnsi="Helvetica"/>
          <w:color w:val="262626"/>
          <w:sz w:val="20"/>
          <w:szCs w:val="20"/>
        </w:rPr>
        <w:t> Los servicios que ofrecen señalando los requisitos para acceder a ellos;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w:t>
      </w:r>
      <w:r>
        <w:rPr>
          <w:rFonts w:ascii="Helvetica" w:hAnsi="Helvetica"/>
          <w:color w:val="262626"/>
          <w:sz w:val="20"/>
          <w:szCs w:val="20"/>
        </w:rPr>
        <w:t> Los trámites, requisitos y formatos que ofrecen;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XXI.</w:t>
      </w:r>
      <w:r>
        <w:rPr>
          <w:rFonts w:ascii="Helvetica" w:hAnsi="Helvetica"/>
          <w:color w:val="262626"/>
          <w:sz w:val="20"/>
          <w:szCs w:val="20"/>
        </w:rPr>
        <w:t> La información financiera sobre el presupuesto asignado, así como los informes del ejercicio trimestral del gasto, en términos de la Ley General de Contabilidad Gubernamental y demás normatividad aplicable;</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XXII.</w:t>
      </w:r>
      <w:r>
        <w:rPr>
          <w:rFonts w:ascii="Helvetica" w:hAnsi="Helvetica"/>
          <w:color w:val="262626"/>
          <w:sz w:val="20"/>
          <w:szCs w:val="20"/>
        </w:rPr>
        <w:t> La información relativa a la deuda pública, en términos de la normatividad aplicable;</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XXIII.</w:t>
      </w:r>
      <w:r>
        <w:rPr>
          <w:rFonts w:ascii="Helvetica" w:hAnsi="Helvetica"/>
          <w:color w:val="262626"/>
          <w:sz w:val="20"/>
          <w:szCs w:val="20"/>
        </w:rPr>
        <w:t> Los montos destinados a gastos relativos a comunicación social y publicidad oficial desglosada por tipo de medio, proveedores, número de contrato y concepto o campaña;</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XXIV.</w:t>
      </w:r>
      <w:r>
        <w:rPr>
          <w:rFonts w:ascii="Helvetica" w:hAnsi="Helvetica"/>
          <w:color w:val="262626"/>
          <w:sz w:val="20"/>
          <w:szCs w:val="20"/>
        </w:rPr>
        <w:t> Los informes de resultados de las auditorías al ejercicio presupuestal de cada sujeto obligado que se realicen y, en su caso, las aclaraciones que correspondan;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lastRenderedPageBreak/>
        <w:t>XXV.</w:t>
      </w:r>
      <w:r>
        <w:rPr>
          <w:rFonts w:ascii="Helvetica" w:hAnsi="Helvetica"/>
          <w:color w:val="262626"/>
          <w:sz w:val="20"/>
          <w:szCs w:val="20"/>
        </w:rPr>
        <w:t xml:space="preserve"> El resultado de la </w:t>
      </w:r>
      <w:proofErr w:type="spellStart"/>
      <w:r>
        <w:rPr>
          <w:rFonts w:ascii="Helvetica" w:hAnsi="Helvetica"/>
          <w:color w:val="262626"/>
          <w:sz w:val="20"/>
          <w:szCs w:val="20"/>
        </w:rPr>
        <w:t>dictaminación</w:t>
      </w:r>
      <w:proofErr w:type="spellEnd"/>
      <w:r>
        <w:rPr>
          <w:rFonts w:ascii="Helvetica" w:hAnsi="Helvetica"/>
          <w:color w:val="262626"/>
          <w:sz w:val="20"/>
          <w:szCs w:val="20"/>
        </w:rPr>
        <w:t xml:space="preserve"> de los estados financieros;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XXVI.</w:t>
      </w:r>
      <w:r>
        <w:rPr>
          <w:rFonts w:ascii="Helvetica" w:hAnsi="Helvetica"/>
          <w:color w:val="262626"/>
          <w:sz w:val="20"/>
          <w:szCs w:val="20"/>
        </w:rPr>
        <w:t>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XXVII.</w:t>
      </w:r>
      <w:r>
        <w:rPr>
          <w:rFonts w:ascii="Helvetica" w:hAnsi="Helvetica"/>
          <w:color w:val="262626"/>
          <w:sz w:val="20"/>
          <w:szCs w:val="20"/>
        </w:rPr>
        <w:t>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XXVIII.</w:t>
      </w:r>
      <w:r>
        <w:rPr>
          <w:rFonts w:ascii="Helvetica" w:hAnsi="Helvetica"/>
          <w:color w:val="262626"/>
          <w:sz w:val="20"/>
          <w:szCs w:val="20"/>
        </w:rPr>
        <w:t>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a) De licitaciones públicas o procedimientos de invitación restringida:</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1. La convocatoria o invitación emitida, así como los fundamentos legales aplicados para llevarla a cabo;</w:t>
      </w:r>
      <w:r>
        <w:rPr>
          <w:rFonts w:ascii="Helvetica" w:hAnsi="Helvetica"/>
          <w:color w:val="262626"/>
          <w:sz w:val="20"/>
          <w:szCs w:val="20"/>
        </w:rPr>
        <w:br/>
        <w:t>2. Los nombres de los participantes o invitados;</w:t>
      </w:r>
      <w:r>
        <w:rPr>
          <w:rFonts w:ascii="Helvetica" w:hAnsi="Helvetica"/>
          <w:color w:val="262626"/>
          <w:sz w:val="20"/>
          <w:szCs w:val="20"/>
        </w:rPr>
        <w:br/>
        <w:t>3. El nombre del ganador y las razones que lo justifican;</w:t>
      </w:r>
      <w:r>
        <w:rPr>
          <w:rFonts w:ascii="Helvetica" w:hAnsi="Helvetica"/>
          <w:color w:val="262626"/>
          <w:sz w:val="20"/>
          <w:szCs w:val="20"/>
        </w:rPr>
        <w:br/>
        <w:t>4. El Área solicitante y la responsable de su ejecución;</w:t>
      </w:r>
      <w:r>
        <w:rPr>
          <w:rFonts w:ascii="Helvetica" w:hAnsi="Helvetica"/>
          <w:color w:val="262626"/>
          <w:sz w:val="20"/>
          <w:szCs w:val="20"/>
        </w:rPr>
        <w:br/>
        <w:t>5. Las convocatorias e invitaciones emitidas;</w:t>
      </w:r>
      <w:r>
        <w:rPr>
          <w:rFonts w:ascii="Helvetica" w:hAnsi="Helvetica"/>
          <w:color w:val="262626"/>
          <w:sz w:val="20"/>
          <w:szCs w:val="20"/>
        </w:rPr>
        <w:br/>
        <w:t>6. Los dictámenes y fallo de adjudicación;</w:t>
      </w:r>
      <w:r>
        <w:rPr>
          <w:rFonts w:ascii="Helvetica" w:hAnsi="Helvetica"/>
          <w:color w:val="262626"/>
          <w:sz w:val="20"/>
          <w:szCs w:val="20"/>
        </w:rPr>
        <w:br/>
        <w:t>7. El contrato y, en su caso, sus anexos;</w:t>
      </w:r>
      <w:r>
        <w:rPr>
          <w:rFonts w:ascii="Helvetica" w:hAnsi="Helvetica"/>
          <w:color w:val="262626"/>
          <w:sz w:val="20"/>
          <w:szCs w:val="20"/>
        </w:rPr>
        <w:br/>
        <w:t>8. Los mecanismos de vigilancia y supervisión, incluyendo, en su caso, los estudios de impacto urbano y ambiental, según corresponda;</w:t>
      </w:r>
      <w:r>
        <w:rPr>
          <w:rFonts w:ascii="Helvetica" w:hAnsi="Helvetica"/>
          <w:color w:val="262626"/>
          <w:sz w:val="20"/>
          <w:szCs w:val="20"/>
        </w:rPr>
        <w:br/>
        <w:t>9. La partida presupuestal, de conformidad con el clasificador por objeto del gasto, en el caso de ser aplicable;</w:t>
      </w:r>
      <w:r>
        <w:rPr>
          <w:rFonts w:ascii="Helvetica" w:hAnsi="Helvetica"/>
          <w:color w:val="262626"/>
          <w:sz w:val="20"/>
          <w:szCs w:val="20"/>
        </w:rPr>
        <w:br/>
        <w:t>10. Origen de los recursos especificando si son federales, estatales o municipales, así como el tipo de fondo de participación o aportación respectiva;</w:t>
      </w:r>
      <w:r>
        <w:rPr>
          <w:rFonts w:ascii="Helvetica" w:hAnsi="Helvetica"/>
          <w:color w:val="262626"/>
          <w:sz w:val="20"/>
          <w:szCs w:val="20"/>
        </w:rPr>
        <w:br/>
        <w:t>11. Los convenios modificatorios que, en su caso, sean firmados, precisando el objeto y la fecha de celebración;</w:t>
      </w:r>
      <w:r>
        <w:rPr>
          <w:rFonts w:ascii="Helvetica" w:hAnsi="Helvetica"/>
          <w:color w:val="262626"/>
          <w:sz w:val="20"/>
          <w:szCs w:val="20"/>
        </w:rPr>
        <w:br/>
        <w:t>12. Los informes de avance físico y financiero sobre las obras o servicios contratados;</w:t>
      </w:r>
      <w:r>
        <w:rPr>
          <w:rFonts w:ascii="Helvetica" w:hAnsi="Helvetica"/>
          <w:color w:val="262626"/>
          <w:sz w:val="20"/>
          <w:szCs w:val="20"/>
        </w:rPr>
        <w:br/>
        <w:t>13. El convenio de terminación, y</w:t>
      </w:r>
      <w:r>
        <w:rPr>
          <w:rFonts w:ascii="Helvetica" w:hAnsi="Helvetica"/>
          <w:color w:val="262626"/>
          <w:sz w:val="20"/>
          <w:szCs w:val="20"/>
        </w:rPr>
        <w:br/>
        <w:t>14. El finiquito;</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b) De las adjudicaciones directas: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1. La propuesta enviada por el participante;</w:t>
      </w:r>
      <w:r>
        <w:rPr>
          <w:rFonts w:ascii="Helvetica" w:hAnsi="Helvetica"/>
          <w:color w:val="262626"/>
          <w:sz w:val="20"/>
          <w:szCs w:val="20"/>
        </w:rPr>
        <w:br/>
        <w:t>2. Los motivos y fundamentos legales aplicados para llevarla a cabo;</w:t>
      </w:r>
      <w:r>
        <w:rPr>
          <w:rFonts w:ascii="Helvetica" w:hAnsi="Helvetica"/>
          <w:color w:val="262626"/>
          <w:sz w:val="20"/>
          <w:szCs w:val="20"/>
        </w:rPr>
        <w:br/>
        <w:t>3. La autorización del ejercicio de la opción;</w:t>
      </w:r>
      <w:r>
        <w:rPr>
          <w:rFonts w:ascii="Helvetica" w:hAnsi="Helvetica"/>
          <w:color w:val="262626"/>
          <w:sz w:val="20"/>
          <w:szCs w:val="20"/>
        </w:rPr>
        <w:br/>
        <w:t>4. En su caso, las cotizaciones consideradas, especificando los nombres de los proveedores y los montos;</w:t>
      </w:r>
      <w:r>
        <w:rPr>
          <w:rFonts w:ascii="Helvetica" w:hAnsi="Helvetica"/>
          <w:color w:val="262626"/>
          <w:sz w:val="20"/>
          <w:szCs w:val="20"/>
        </w:rPr>
        <w:br/>
        <w:t>5. El nombre de la persona física o moral adjudicada;</w:t>
      </w:r>
      <w:r>
        <w:rPr>
          <w:rFonts w:ascii="Helvetica" w:hAnsi="Helvetica"/>
          <w:color w:val="262626"/>
          <w:sz w:val="20"/>
          <w:szCs w:val="20"/>
        </w:rPr>
        <w:br/>
        <w:t>6. La unidad administrativa solicitante y la responsable de su ejecución;</w:t>
      </w:r>
      <w:r>
        <w:rPr>
          <w:rFonts w:ascii="Helvetica" w:hAnsi="Helvetica"/>
          <w:color w:val="262626"/>
          <w:sz w:val="20"/>
          <w:szCs w:val="20"/>
        </w:rPr>
        <w:br/>
        <w:t>7. El número, fecha, el monto del contrato y el plazo de entrega o de ejecución de los servicios u obra;</w:t>
      </w:r>
      <w:r>
        <w:rPr>
          <w:rFonts w:ascii="Helvetica" w:hAnsi="Helvetica"/>
          <w:color w:val="262626"/>
          <w:sz w:val="20"/>
          <w:szCs w:val="20"/>
        </w:rPr>
        <w:br/>
        <w:t>8. Los mecanismos de vigilancia y supervisión, incluyendo, en su caso, los estudios de impacto urbano y ambiental, según corresponda;</w:t>
      </w:r>
      <w:r>
        <w:rPr>
          <w:rFonts w:ascii="Helvetica" w:hAnsi="Helvetica"/>
          <w:color w:val="262626"/>
          <w:sz w:val="20"/>
          <w:szCs w:val="20"/>
        </w:rPr>
        <w:br/>
        <w:t>9. Los informes de avance sobre las obras o servicios contratados;</w:t>
      </w:r>
      <w:r>
        <w:rPr>
          <w:rFonts w:ascii="Helvetica" w:hAnsi="Helvetica"/>
          <w:color w:val="262626"/>
          <w:sz w:val="20"/>
          <w:szCs w:val="20"/>
        </w:rPr>
        <w:br/>
        <w:t>10. El convenio de terminación, y</w:t>
      </w:r>
      <w:r>
        <w:rPr>
          <w:rFonts w:ascii="Helvetica" w:hAnsi="Helvetica"/>
          <w:color w:val="262626"/>
          <w:sz w:val="20"/>
          <w:szCs w:val="20"/>
        </w:rPr>
        <w:br/>
        <w:t>11. El finiquito;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lastRenderedPageBreak/>
        <w:t>XXIX.</w:t>
      </w:r>
      <w:r>
        <w:rPr>
          <w:rFonts w:ascii="Helvetica" w:hAnsi="Helvetica"/>
          <w:color w:val="262626"/>
          <w:sz w:val="20"/>
          <w:szCs w:val="20"/>
        </w:rPr>
        <w:t> Los informes que por disposición legal generen los sujetos obligados;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w:t>
      </w:r>
      <w:r>
        <w:rPr>
          <w:rFonts w:ascii="Helvetica" w:hAnsi="Helvetica"/>
          <w:color w:val="262626"/>
          <w:sz w:val="20"/>
          <w:szCs w:val="20"/>
        </w:rPr>
        <w:t> Las estadísticas que generen en cumplimiento de sus facultades, competencias o funciones con la mayor desagregación posible;</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XXXI.</w:t>
      </w:r>
      <w:r>
        <w:rPr>
          <w:rFonts w:ascii="Helvetica" w:hAnsi="Helvetica"/>
          <w:color w:val="262626"/>
          <w:sz w:val="20"/>
          <w:szCs w:val="20"/>
        </w:rPr>
        <w:t> Informe de avances programáticos o presupuestales, balances generales y su estado financiero;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XXXII.</w:t>
      </w:r>
      <w:r>
        <w:rPr>
          <w:rFonts w:ascii="Helvetica" w:hAnsi="Helvetica"/>
          <w:color w:val="262626"/>
          <w:sz w:val="20"/>
          <w:szCs w:val="20"/>
        </w:rPr>
        <w:t> Padrón de proveedores y contratistas;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XXXIII.</w:t>
      </w:r>
      <w:r>
        <w:rPr>
          <w:rFonts w:ascii="Helvetica" w:hAnsi="Helvetica"/>
          <w:color w:val="262626"/>
          <w:sz w:val="20"/>
          <w:szCs w:val="20"/>
        </w:rPr>
        <w:t> Los convenios de coordinación de concertación con los sectores social y privado;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XXXIV.</w:t>
      </w:r>
      <w:r>
        <w:rPr>
          <w:rFonts w:ascii="Helvetica" w:hAnsi="Helvetica"/>
          <w:color w:val="262626"/>
          <w:sz w:val="20"/>
          <w:szCs w:val="20"/>
        </w:rPr>
        <w:t> El inventario de bienes muebles e inmuebles en posesión y propiedad;</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XXXV.</w:t>
      </w:r>
      <w:r>
        <w:rPr>
          <w:rFonts w:ascii="Helvetica" w:hAnsi="Helvetica"/>
          <w:color w:val="262626"/>
          <w:sz w:val="20"/>
          <w:szCs w:val="20"/>
        </w:rPr>
        <w:t> Las recomendaciones emitidas por los órganos públicos del Estado mexicano u organismos internacionales garantes de los derechos humanos, así como las acciones que han llevado a cabo para su atención;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XXXVI.</w:t>
      </w:r>
      <w:r>
        <w:rPr>
          <w:rFonts w:ascii="Helvetica" w:hAnsi="Helvetica"/>
          <w:color w:val="262626"/>
          <w:sz w:val="20"/>
          <w:szCs w:val="20"/>
        </w:rPr>
        <w:t> Las resoluciones y laudos que se emitan en procesos o procedimientos seguidos en forma de juicio;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XXXVII.</w:t>
      </w:r>
      <w:r>
        <w:rPr>
          <w:rFonts w:ascii="Helvetica" w:hAnsi="Helvetica"/>
          <w:color w:val="262626"/>
          <w:sz w:val="20"/>
          <w:szCs w:val="20"/>
        </w:rPr>
        <w:t> Los mecanismos de participación ciudadana;</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XXXVIII.</w:t>
      </w:r>
      <w:r>
        <w:rPr>
          <w:rFonts w:ascii="Helvetica" w:hAnsi="Helvetica"/>
          <w:color w:val="262626"/>
          <w:sz w:val="20"/>
          <w:szCs w:val="20"/>
        </w:rPr>
        <w:t> Los programas que ofrecen, incluyendo información sobre la población, objetivo y destino, así como los trámites, tiempos de respuesta, requisitos y formatos para acceder a los mismos;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XXXIX.</w:t>
      </w:r>
      <w:r>
        <w:rPr>
          <w:rFonts w:ascii="Helvetica" w:hAnsi="Helvetica"/>
          <w:color w:val="262626"/>
          <w:sz w:val="20"/>
          <w:szCs w:val="20"/>
        </w:rPr>
        <w:t> Las actas y resoluciones del Comité de Transparencia de los sujetos obligados;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w:t>
      </w:r>
      <w:r>
        <w:rPr>
          <w:rFonts w:ascii="Helvetica" w:hAnsi="Helvetica"/>
          <w:color w:val="262626"/>
          <w:sz w:val="20"/>
          <w:szCs w:val="20"/>
        </w:rPr>
        <w:t> Todas las evaluaciones y encuestas que hagan los sujetos obligados a programas financiados con recursos públicos;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XLI.</w:t>
      </w:r>
      <w:r>
        <w:rPr>
          <w:rFonts w:ascii="Helvetica" w:hAnsi="Helvetica"/>
          <w:color w:val="262626"/>
          <w:sz w:val="20"/>
          <w:szCs w:val="20"/>
        </w:rPr>
        <w:t> Los estudios financiados con recursos públicos;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XLII.</w:t>
      </w:r>
      <w:r>
        <w:rPr>
          <w:rFonts w:ascii="Helvetica" w:hAnsi="Helvetica"/>
          <w:color w:val="262626"/>
          <w:sz w:val="20"/>
          <w:szCs w:val="20"/>
        </w:rPr>
        <w:t> El listado de jubilados y pensionados y el monto que reciben. No Aplica. Al corresponder a una atribución del Instituto de Pensiones del Estado.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XLIII.</w:t>
      </w:r>
      <w:r>
        <w:rPr>
          <w:rFonts w:ascii="Helvetica" w:hAnsi="Helvetica"/>
          <w:color w:val="262626"/>
          <w:sz w:val="20"/>
          <w:szCs w:val="20"/>
        </w:rPr>
        <w:t> Los ingresos recibidos por cualquier concepto señalando el nombre de los responsables de recibirlos, administrarlos y ejercerlos, así como su destino, indicando el destino de cada uno de ellos;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XLIV.</w:t>
      </w:r>
      <w:r>
        <w:rPr>
          <w:rFonts w:ascii="Helvetica" w:hAnsi="Helvetica"/>
          <w:color w:val="262626"/>
          <w:sz w:val="20"/>
          <w:szCs w:val="20"/>
        </w:rPr>
        <w:t> Donaciones hechas a terceros en dinero o en especie;</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XLV.</w:t>
      </w:r>
      <w:r>
        <w:rPr>
          <w:rFonts w:ascii="Helvetica" w:hAnsi="Helvetica"/>
          <w:color w:val="262626"/>
          <w:sz w:val="20"/>
          <w:szCs w:val="20"/>
        </w:rPr>
        <w:t> El catálogo de disposición y guía de archivo documental;</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XLVI.</w:t>
      </w:r>
      <w:r>
        <w:rPr>
          <w:rFonts w:ascii="Helvetica" w:hAnsi="Helvetica"/>
          <w:color w:val="262626"/>
          <w:sz w:val="20"/>
          <w:szCs w:val="20"/>
        </w:rPr>
        <w:t> Las actas de sesiones ordinarias y extraordinarias, así como las opiniones y recomendaciones que emitan, en su caso, los consejos consultivos;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XLVII.</w:t>
      </w:r>
      <w:r>
        <w:rPr>
          <w:rFonts w:ascii="Helvetica" w:hAnsi="Helvetica"/>
          <w:color w:val="262626"/>
          <w:sz w:val="20"/>
          <w:szCs w:val="20"/>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w:t>
      </w:r>
      <w:r>
        <w:rPr>
          <w:rFonts w:ascii="Helvetica" w:hAnsi="Helvetica"/>
          <w:color w:val="262626"/>
          <w:sz w:val="20"/>
          <w:szCs w:val="20"/>
        </w:rPr>
        <w:lastRenderedPageBreak/>
        <w:t>cuenta con la autorización judicial correspondiente. No Aplica. Este sujeto obligado no tiene atribuciones para intervenir las radiocomunicaciones.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XLVIII.</w:t>
      </w:r>
      <w:r>
        <w:rPr>
          <w:rFonts w:ascii="Helvetica" w:hAnsi="Helvetica"/>
          <w:color w:val="262626"/>
          <w:sz w:val="20"/>
          <w:szCs w:val="20"/>
        </w:rPr>
        <w:t> Las enajenaciones y otros actos jurídicos relacionados con bienes públicos, indicando los motivos, beneficiarios o adquirientes, así como los montos de las operaciones;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XLIX.</w:t>
      </w:r>
      <w:r>
        <w:rPr>
          <w:rFonts w:ascii="Helvetica" w:hAnsi="Helvetica"/>
          <w:color w:val="262626"/>
          <w:sz w:val="20"/>
          <w:szCs w:val="20"/>
        </w:rPr>
        <w:t> Las cuentas públicas estatales y municipales, así como los documentos relativos, incluyendo el informe del resultado de su revisión y su dictamen;</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L.</w:t>
      </w:r>
      <w:r>
        <w:rPr>
          <w:rFonts w:ascii="Helvetica" w:hAnsi="Helvetica"/>
          <w:color w:val="262626"/>
          <w:sz w:val="20"/>
          <w:szCs w:val="20"/>
        </w:rPr>
        <w:t> El origen de fondos auxiliares especiales y la aplicación que se haya hecho de los ingresos correlativos;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LI.</w:t>
      </w:r>
      <w:r>
        <w:rPr>
          <w:rFonts w:ascii="Helvetica" w:hAnsi="Helvetica"/>
          <w:color w:val="262626"/>
          <w:sz w:val="20"/>
          <w:szCs w:val="20"/>
        </w:rPr>
        <w:t> Una relación de los servidores públicos comisionados por cualquier causa, incluso de carácter sindical;</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LII.</w:t>
      </w:r>
      <w:r>
        <w:rPr>
          <w:rFonts w:ascii="Helvetica" w:hAnsi="Helvetica"/>
          <w:color w:val="262626"/>
          <w:sz w:val="20"/>
          <w:szCs w:val="20"/>
        </w:rPr>
        <w:t> Los índices de expedientes clasificados como reservados, elaborados semestralmente y por rubros temáticos;</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LIII.</w:t>
      </w:r>
      <w:r>
        <w:rPr>
          <w:rFonts w:ascii="Helvetica" w:hAnsi="Helvetica"/>
          <w:color w:val="262626"/>
          <w:sz w:val="20"/>
          <w:szCs w:val="20"/>
        </w:rPr>
        <w:t> La información desclasificada, la cual deberá de permanecer dos años posteriores a partir de que perdió su clasificación; y</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LIV.</w:t>
      </w:r>
      <w:r>
        <w:rPr>
          <w:rFonts w:ascii="Helvetica" w:hAnsi="Helvetica"/>
          <w:color w:val="262626"/>
          <w:sz w:val="20"/>
          <w:szCs w:val="20"/>
        </w:rPr>
        <w:t> Cualquier otra información que sea de utilidad o se considere relevante, además de la que, con base en la información estadística, responda a las preguntas hechas con más frecuencia por el público.</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Último Párrafo:</w:t>
      </w:r>
      <w:r>
        <w:rPr>
          <w:rFonts w:ascii="Helvetica" w:hAnsi="Helvetica"/>
          <w:color w:val="262626"/>
          <w:sz w:val="20"/>
          <w:szCs w:val="20"/>
        </w:rPr>
        <w:t> 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 </w:t>
      </w:r>
    </w:p>
    <w:p w:rsidR="002A1790" w:rsidRDefault="002A1790" w:rsidP="002A1790">
      <w:pPr>
        <w:pStyle w:val="NormalWeb"/>
        <w:rPr>
          <w:rFonts w:ascii="Helvetica" w:hAnsi="Helvetica"/>
          <w:color w:val="262626"/>
          <w:sz w:val="20"/>
          <w:szCs w:val="20"/>
        </w:rPr>
      </w:pPr>
      <w:r>
        <w:rPr>
          <w:rStyle w:val="Textoennegrita"/>
          <w:rFonts w:ascii="Helvetica" w:hAnsi="Helvetica"/>
          <w:color w:val="262626"/>
          <w:sz w:val="20"/>
          <w:szCs w:val="20"/>
        </w:rPr>
        <w:t>Artículo 16.</w:t>
      </w:r>
      <w:r>
        <w:rPr>
          <w:rFonts w:ascii="Helvetica" w:hAnsi="Helvetica"/>
          <w:color w:val="262626"/>
          <w:sz w:val="20"/>
          <w:szCs w:val="20"/>
        </w:rPr>
        <w:t> Además de lo señalado en el artículo anterior, los siguientes sujetos obligados deberán poner a disposición del público y actualizar la siguiente información:</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II. En el caso de los municipios: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a) El Plan Municipal de Desarrollo;</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b) Los objetivos, metas y acciones contenidas en sus programas;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c) La Ley de Ingresos y el presupuesto de egresos;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e) La información detallada que contengan los planes de desarrollo urbano, ordenamiento territorial y ecológico, los tipos y usos de suelo, licencias de uso y construcción otorgadas por los gobiernos municipales;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lastRenderedPageBreak/>
        <w:t>f) Las disposiciones administrativas, directamente o a través de la autoridad competente, con el plazo de anticipación que prevean las disposiciones aplicables, salvo que su difusión pueda comprometer los efectos que se pretenden lograr con la disposición o se trate de situaciones de emergencia, de conformidad con dichas disposiciones;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g) El contenido de las gacetas municipales o de las publicaciones que, bajo cualquier denominación, difundan las actividades del Ayuntamiento y en las que deberán estar comprendidos los resolutivos y acuerdos aprobados por el mismo;</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h) Las actas de sesiones de Cabildo y anexos, los controles de asistencia de los integrantes del Ayuntamiento a las sesiones de Cabildo y el sentido de su votación sobre las iniciativas o acuerdos;</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j) Las cantidades recibidas por concepto de multas, así como el uso o aplicación que se les dé;</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k) El calendario con las actividades culturales, deportivas y recreativas, a realizar; y</w:t>
      </w:r>
    </w:p>
    <w:p w:rsidR="002A1790" w:rsidRDefault="002A1790" w:rsidP="002A1790">
      <w:pPr>
        <w:pStyle w:val="NormalWeb"/>
        <w:rPr>
          <w:rFonts w:ascii="Helvetica" w:hAnsi="Helvetica"/>
          <w:color w:val="262626"/>
          <w:sz w:val="20"/>
          <w:szCs w:val="20"/>
        </w:rPr>
      </w:pPr>
      <w:r>
        <w:rPr>
          <w:rFonts w:ascii="Helvetica" w:hAnsi="Helvetica"/>
          <w:color w:val="262626"/>
          <w:sz w:val="20"/>
          <w:szCs w:val="20"/>
        </w:rPr>
        <w:t>l) El calendario con horarios, número de unidad y teléfonos de servicio de recolección de basura.</w:t>
      </w:r>
    </w:p>
    <w:p w:rsidR="00A927DF" w:rsidRDefault="00A927DF">
      <w:bookmarkStart w:id="0" w:name="_GoBack"/>
      <w:bookmarkEnd w:id="0"/>
    </w:p>
    <w:sectPr w:rsidR="00A927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90"/>
    <w:rsid w:val="002A1790"/>
    <w:rsid w:val="006633C0"/>
    <w:rsid w:val="006B73FC"/>
    <w:rsid w:val="00A92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AF15-AA53-4821-BE8B-8E3D803C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17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A1790"/>
    <w:rPr>
      <w:b/>
      <w:bCs/>
    </w:rPr>
  </w:style>
  <w:style w:type="paragraph" w:styleId="Textodeglobo">
    <w:name w:val="Balloon Text"/>
    <w:basedOn w:val="Normal"/>
    <w:link w:val="TextodegloboCar"/>
    <w:uiPriority w:val="99"/>
    <w:semiHidden/>
    <w:unhideWhenUsed/>
    <w:rsid w:val="002A17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2023-04-14T17:04:00Z</cp:lastPrinted>
  <dcterms:created xsi:type="dcterms:W3CDTF">2023-04-14T17:04:00Z</dcterms:created>
  <dcterms:modified xsi:type="dcterms:W3CDTF">2023-04-14T17:17:00Z</dcterms:modified>
</cp:coreProperties>
</file>